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Pathogen Patrol - Infection, Prevention and Control Strategies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AIM OF THIS ACTIVITY</w:t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A collaborative and interactive activity where participants identify infection-prone areas within a hospital setting, then develop practical prevention and control strategies to transform high-risk areas into safer zones. </w:t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Learning Outcomes: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Through this activity, participants will learn to: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40" w:line="276" w:lineRule="auto"/>
        <w:ind w:left="720" w:hanging="360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Recognize common hospital areas vulnerable to infections and understand the factors contributing to these risks.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76" w:lineRule="auto"/>
        <w:ind w:left="720" w:hanging="360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Apply principles of infection prevention and control in real-world scenarios.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Collaborate effectively to assess risks and develop practical, evidence-based solutions.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line="276" w:lineRule="auto"/>
        <w:ind w:left="720" w:hanging="360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Appreciate the importance of hospital hygiene and staff practices in reducing healthcare-associated infections (HAIs).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—-------------------------------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Activity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Number of students in one group: 10-15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 map of a specific area in a hospital is given to each team. Maps can be downloaded from any online website. The team has to work to identify different high-risk areas within the given focus area, assess potential sources of infection, and propose effective strategies to prevent infections in those areas.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Each team will get 15 - 20 minutes to complete the task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One volunteer from each team will come and discuss the strategies they have come up with related to their focus area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 microbiologist will analyse their discussion and suggest feedback and changes in their strategies.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</w:rPr>
        <w:drawing>
          <wp:inline distB="114300" distT="114300" distL="114300" distR="114300">
            <wp:extent cx="6342247" cy="1961624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2247" cy="1961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5813386</wp:posOffset>
            </wp:positionV>
            <wp:extent cx="5943600" cy="406400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b w:val="1"/>
        <w:bCs w:val="1"/>
        <w:u w:val="single"/>
      </w:rPr>
    </w:pPr>
    <w:r w:rsidDel="00000000" w:rsidR="00000000" w:rsidRPr="00000000">
      <w:rPr/>
      <w:drawing>
        <wp:inline distB="114300" distT="114300" distL="114300" distR="114300">
          <wp:extent cx="2319338" cy="53151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9338" cy="5315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b w:val="1"/>
        <w:bCs w:val="1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kASvWEl/I93KO0fGu8mPDmDmw==">CgMxLjA4AHIhMUNUTkdnZUgyc1lmalJONzV6V1VPVmtzZUJ0SjRnamt3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